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5086" w14:textId="1D9B0359" w:rsidR="008B6E01" w:rsidRPr="004448C3" w:rsidRDefault="008B6E01" w:rsidP="004448C3">
      <w:pPr>
        <w:spacing w:line="360" w:lineRule="auto"/>
        <w:rPr>
          <w:rFonts w:ascii="Arial" w:hAnsi="Arial" w:cs="Arial"/>
        </w:rPr>
      </w:pPr>
      <w:r w:rsidRPr="004448C3">
        <w:rPr>
          <w:rFonts w:ascii="Arial" w:hAnsi="Arial" w:cs="Arial"/>
        </w:rPr>
        <w:t>[Your Full Name]</w:t>
      </w:r>
      <w:r w:rsidRPr="004448C3">
        <w:rPr>
          <w:rFonts w:ascii="Arial" w:hAnsi="Arial" w:cs="Arial"/>
        </w:rPr>
        <w:br/>
        <w:t>[Your Position/Title]</w:t>
      </w:r>
      <w:r w:rsidRPr="004448C3">
        <w:rPr>
          <w:rFonts w:ascii="Arial" w:hAnsi="Arial" w:cs="Arial"/>
        </w:rPr>
        <w:br/>
        <w:t>[</w:t>
      </w:r>
      <w:r w:rsidR="00BB2311" w:rsidRPr="004448C3">
        <w:rPr>
          <w:rFonts w:ascii="Arial" w:hAnsi="Arial" w:cs="Arial"/>
        </w:rPr>
        <w:t>Accounting Practice</w:t>
      </w:r>
      <w:r w:rsidRPr="004448C3">
        <w:rPr>
          <w:rFonts w:ascii="Arial" w:hAnsi="Arial" w:cs="Arial"/>
        </w:rPr>
        <w:t xml:space="preserve"> Name]</w:t>
      </w:r>
      <w:r w:rsidRPr="004448C3">
        <w:rPr>
          <w:rFonts w:ascii="Arial" w:hAnsi="Arial" w:cs="Arial"/>
        </w:rPr>
        <w:br/>
        <w:t>[Address]</w:t>
      </w:r>
      <w:r w:rsidRPr="004448C3">
        <w:rPr>
          <w:rFonts w:ascii="Arial" w:hAnsi="Arial" w:cs="Arial"/>
        </w:rPr>
        <w:br/>
        <w:t xml:space="preserve">[City, </w:t>
      </w:r>
      <w:r w:rsidR="00BB2311" w:rsidRPr="004448C3">
        <w:rPr>
          <w:rFonts w:ascii="Arial" w:hAnsi="Arial" w:cs="Arial"/>
        </w:rPr>
        <w:t>Province</w:t>
      </w:r>
      <w:r w:rsidRPr="004448C3">
        <w:rPr>
          <w:rFonts w:ascii="Arial" w:hAnsi="Arial" w:cs="Arial"/>
        </w:rPr>
        <w:t>, Code]</w:t>
      </w:r>
      <w:r w:rsidRPr="004448C3">
        <w:rPr>
          <w:rFonts w:ascii="Arial" w:hAnsi="Arial" w:cs="Arial"/>
        </w:rPr>
        <w:br/>
        <w:t>[Email Address]</w:t>
      </w:r>
      <w:r w:rsidRPr="004448C3">
        <w:rPr>
          <w:rFonts w:ascii="Arial" w:hAnsi="Arial" w:cs="Arial"/>
        </w:rPr>
        <w:br/>
        <w:t>[Phone Number]</w:t>
      </w:r>
    </w:p>
    <w:p w14:paraId="0BE4D410" w14:textId="77777777" w:rsidR="008B6E01" w:rsidRPr="004448C3" w:rsidRDefault="008B6E01" w:rsidP="004448C3">
      <w:pPr>
        <w:spacing w:line="360" w:lineRule="auto"/>
        <w:rPr>
          <w:rFonts w:ascii="Arial" w:hAnsi="Arial" w:cs="Arial"/>
        </w:rPr>
      </w:pPr>
    </w:p>
    <w:p w14:paraId="779DCC3D" w14:textId="5EAF733D" w:rsidR="008B6E01" w:rsidRPr="004448C3" w:rsidRDefault="008B6E01" w:rsidP="004448C3">
      <w:pPr>
        <w:spacing w:line="360" w:lineRule="auto"/>
        <w:rPr>
          <w:rFonts w:ascii="Arial" w:hAnsi="Arial" w:cs="Arial"/>
        </w:rPr>
      </w:pPr>
      <w:r w:rsidRPr="004448C3">
        <w:rPr>
          <w:rFonts w:ascii="Arial" w:hAnsi="Arial" w:cs="Arial"/>
        </w:rPr>
        <w:t>Date: [Insert Date]</w:t>
      </w:r>
    </w:p>
    <w:p w14:paraId="49D1FA25" w14:textId="77777777" w:rsidR="008B6E01" w:rsidRPr="004448C3" w:rsidRDefault="008B6E01" w:rsidP="004448C3">
      <w:pPr>
        <w:spacing w:line="360" w:lineRule="auto"/>
        <w:rPr>
          <w:rFonts w:ascii="Arial" w:hAnsi="Arial" w:cs="Arial"/>
        </w:rPr>
      </w:pPr>
    </w:p>
    <w:p w14:paraId="1236A234" w14:textId="77777777" w:rsidR="0081110D" w:rsidRPr="004448C3" w:rsidRDefault="00850896" w:rsidP="004448C3">
      <w:pPr>
        <w:spacing w:line="360" w:lineRule="auto"/>
        <w:rPr>
          <w:rFonts w:ascii="Arial" w:hAnsi="Arial" w:cs="Arial"/>
        </w:rPr>
      </w:pPr>
      <w:r w:rsidRPr="004448C3">
        <w:rPr>
          <w:rFonts w:ascii="Arial" w:hAnsi="Arial" w:cs="Arial"/>
        </w:rPr>
        <w:t xml:space="preserve">For attention: </w:t>
      </w:r>
    </w:p>
    <w:p w14:paraId="12EDA27C" w14:textId="59838EB0" w:rsidR="008B6E01" w:rsidRPr="004448C3" w:rsidRDefault="008B6E01" w:rsidP="004448C3">
      <w:pPr>
        <w:spacing w:line="360" w:lineRule="auto"/>
        <w:rPr>
          <w:rFonts w:ascii="Arial" w:hAnsi="Arial" w:cs="Arial"/>
        </w:rPr>
      </w:pPr>
      <w:r w:rsidRPr="004448C3">
        <w:rPr>
          <w:rFonts w:ascii="Arial" w:hAnsi="Arial" w:cs="Arial"/>
        </w:rPr>
        <w:t>[</w:t>
      </w:r>
      <w:r w:rsidR="0081110D" w:rsidRPr="004448C3">
        <w:rPr>
          <w:rFonts w:ascii="Arial" w:hAnsi="Arial" w:cs="Arial"/>
        </w:rPr>
        <w:t>Name of School Principle/Headmaster</w:t>
      </w:r>
      <w:r w:rsidRPr="004448C3">
        <w:rPr>
          <w:rFonts w:ascii="Arial" w:hAnsi="Arial" w:cs="Arial"/>
        </w:rPr>
        <w:t>],</w:t>
      </w:r>
    </w:p>
    <w:p w14:paraId="6E0050C7" w14:textId="4CDBF8FB" w:rsidR="008B6E01" w:rsidRPr="004448C3" w:rsidRDefault="0081110D" w:rsidP="004448C3">
      <w:pPr>
        <w:spacing w:line="360" w:lineRule="auto"/>
        <w:rPr>
          <w:rFonts w:ascii="Arial" w:hAnsi="Arial" w:cs="Arial"/>
        </w:rPr>
      </w:pPr>
      <w:r w:rsidRPr="004448C3">
        <w:rPr>
          <w:rFonts w:ascii="Arial" w:hAnsi="Arial" w:cs="Arial"/>
        </w:rPr>
        <w:t>[Name of School]</w:t>
      </w:r>
    </w:p>
    <w:p w14:paraId="084A6562" w14:textId="7CFA90D6" w:rsidR="008B6E01" w:rsidRPr="004448C3" w:rsidRDefault="008B6E01" w:rsidP="004448C3">
      <w:pPr>
        <w:spacing w:line="360" w:lineRule="auto"/>
        <w:rPr>
          <w:rFonts w:ascii="Arial" w:hAnsi="Arial" w:cs="Arial"/>
        </w:rPr>
      </w:pPr>
      <w:r w:rsidRPr="004448C3">
        <w:rPr>
          <w:rFonts w:ascii="Arial" w:hAnsi="Arial" w:cs="Arial"/>
        </w:rPr>
        <w:t>[Email address]</w:t>
      </w:r>
    </w:p>
    <w:p w14:paraId="180A1753" w14:textId="7FAFB859" w:rsidR="004448C3" w:rsidRPr="004448C3" w:rsidRDefault="004448C3" w:rsidP="004448C3">
      <w:pPr>
        <w:spacing w:before="100" w:beforeAutospacing="1" w:after="100" w:afterAutospacing="1" w:line="360" w:lineRule="auto"/>
        <w:rPr>
          <w:rFonts w:ascii="Arial" w:hAnsi="Arial" w:cs="Arial"/>
          <w:b/>
          <w:bCs/>
        </w:rPr>
      </w:pPr>
      <w:r w:rsidRPr="004448C3">
        <w:rPr>
          <w:rFonts w:ascii="Arial" w:hAnsi="Arial" w:cs="Arial"/>
          <w:b/>
          <w:bCs/>
        </w:rPr>
        <w:t>SUBJECT: KEY TAX UPDATES FROM THE 2024 BUDGET SPEECH: WHAT YOU NEED TO KNOW</w:t>
      </w:r>
    </w:p>
    <w:p w14:paraId="562D7FFA" w14:textId="77777777"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Dear [Client's Name],</w:t>
      </w:r>
    </w:p>
    <w:p w14:paraId="3F3A54D8" w14:textId="77777777" w:rsidR="004448C3" w:rsidRDefault="004448C3" w:rsidP="004448C3">
      <w:pPr>
        <w:spacing w:before="100" w:beforeAutospacing="1" w:after="100" w:afterAutospacing="1" w:line="360" w:lineRule="auto"/>
        <w:rPr>
          <w:rFonts w:ascii="Arial" w:hAnsi="Arial" w:cs="Arial"/>
        </w:rPr>
      </w:pPr>
      <w:r w:rsidRPr="004448C3">
        <w:rPr>
          <w:rFonts w:ascii="Arial" w:hAnsi="Arial" w:cs="Arial"/>
        </w:rPr>
        <w:t xml:space="preserve">I hope this message finds you well. </w:t>
      </w:r>
    </w:p>
    <w:p w14:paraId="2A9375D5" w14:textId="1D6ED050"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Following the 2024 Budget Speech, I wanted to highlight several critical tax implications that could affect your financial planning and compliance requirements.</w:t>
      </w:r>
    </w:p>
    <w:p w14:paraId="761C4850" w14:textId="77777777" w:rsidR="004448C3" w:rsidRPr="004448C3" w:rsidRDefault="004448C3" w:rsidP="004448C3">
      <w:pPr>
        <w:spacing w:before="100" w:beforeAutospacing="1" w:after="100" w:afterAutospacing="1" w:line="360" w:lineRule="auto"/>
        <w:rPr>
          <w:rFonts w:ascii="Arial" w:hAnsi="Arial" w:cs="Arial"/>
        </w:rPr>
      </w:pPr>
      <w:r w:rsidRPr="004448C3">
        <w:rPr>
          <w:rStyle w:val="Strong"/>
          <w:rFonts w:ascii="Arial" w:eastAsiaTheme="majorEastAsia" w:hAnsi="Arial" w:cs="Arial"/>
        </w:rPr>
        <w:t>Personal and Corporate Tax Adjustments:</w:t>
      </w:r>
    </w:p>
    <w:p w14:paraId="360F2065" w14:textId="77777777" w:rsidR="004448C3" w:rsidRPr="004448C3" w:rsidRDefault="004448C3" w:rsidP="004448C3">
      <w:pPr>
        <w:numPr>
          <w:ilvl w:val="0"/>
          <w:numId w:val="1"/>
        </w:numPr>
        <w:spacing w:before="100" w:beforeAutospacing="1" w:after="100" w:afterAutospacing="1" w:line="360" w:lineRule="auto"/>
        <w:rPr>
          <w:rFonts w:ascii="Arial" w:hAnsi="Arial" w:cs="Arial"/>
        </w:rPr>
      </w:pPr>
      <w:r w:rsidRPr="004448C3">
        <w:rPr>
          <w:rFonts w:ascii="Arial" w:hAnsi="Arial" w:cs="Arial"/>
        </w:rPr>
        <w:t>While direct tax rates remain unchanged, the non-adjustment for inflation in personal income tax brackets and medical tax credits will effectively result in a higher tax burden.</w:t>
      </w:r>
    </w:p>
    <w:p w14:paraId="7D5A9BED" w14:textId="77777777" w:rsidR="004448C3" w:rsidRPr="004448C3" w:rsidRDefault="004448C3" w:rsidP="004448C3">
      <w:pPr>
        <w:numPr>
          <w:ilvl w:val="0"/>
          <w:numId w:val="1"/>
        </w:numPr>
        <w:spacing w:before="100" w:beforeAutospacing="1" w:after="100" w:afterAutospacing="1" w:line="360" w:lineRule="auto"/>
        <w:rPr>
          <w:rFonts w:ascii="Arial" w:hAnsi="Arial" w:cs="Arial"/>
        </w:rPr>
      </w:pPr>
      <w:r w:rsidRPr="004448C3">
        <w:rPr>
          <w:rFonts w:ascii="Arial" w:hAnsi="Arial" w:cs="Arial"/>
        </w:rPr>
        <w:t>Excise duties on alcohol and tobacco products are set to increase by 6.7 to 7.2% and 4.7 to 8.2% respectively, impacting costs for consumers and businesses in these sectors.</w:t>
      </w:r>
    </w:p>
    <w:p w14:paraId="181CE01E" w14:textId="77777777" w:rsidR="004448C3" w:rsidRPr="004448C3" w:rsidRDefault="004448C3" w:rsidP="004448C3">
      <w:pPr>
        <w:numPr>
          <w:ilvl w:val="0"/>
          <w:numId w:val="1"/>
        </w:numPr>
        <w:spacing w:before="100" w:beforeAutospacing="1" w:after="100" w:afterAutospacing="1" w:line="360" w:lineRule="auto"/>
        <w:rPr>
          <w:rFonts w:ascii="Arial" w:hAnsi="Arial" w:cs="Arial"/>
        </w:rPr>
      </w:pPr>
      <w:r w:rsidRPr="004448C3">
        <w:rPr>
          <w:rFonts w:ascii="Arial" w:hAnsi="Arial" w:cs="Arial"/>
        </w:rPr>
        <w:t>The unchanged fuel and Road Accident Fund levies offer some relief amidst these increases.</w:t>
      </w:r>
    </w:p>
    <w:p w14:paraId="26CE8CAE" w14:textId="77777777" w:rsidR="004448C3" w:rsidRPr="004448C3" w:rsidRDefault="004448C3" w:rsidP="004448C3">
      <w:pPr>
        <w:spacing w:before="100" w:beforeAutospacing="1" w:after="100" w:afterAutospacing="1" w:line="360" w:lineRule="auto"/>
        <w:rPr>
          <w:rFonts w:ascii="Arial" w:hAnsi="Arial" w:cs="Arial"/>
        </w:rPr>
      </w:pPr>
      <w:r w:rsidRPr="004448C3">
        <w:rPr>
          <w:rStyle w:val="Strong"/>
          <w:rFonts w:ascii="Arial" w:eastAsiaTheme="majorEastAsia" w:hAnsi="Arial" w:cs="Arial"/>
        </w:rPr>
        <w:lastRenderedPageBreak/>
        <w:t>Global Tax Shifts:</w:t>
      </w:r>
    </w:p>
    <w:p w14:paraId="5CF7C860" w14:textId="77777777" w:rsidR="004448C3" w:rsidRPr="004448C3" w:rsidRDefault="004448C3" w:rsidP="004448C3">
      <w:pPr>
        <w:numPr>
          <w:ilvl w:val="0"/>
          <w:numId w:val="2"/>
        </w:numPr>
        <w:spacing w:before="100" w:beforeAutospacing="1" w:after="100" w:afterAutospacing="1" w:line="360" w:lineRule="auto"/>
        <w:rPr>
          <w:rFonts w:ascii="Arial" w:hAnsi="Arial" w:cs="Arial"/>
        </w:rPr>
      </w:pPr>
      <w:r w:rsidRPr="004448C3">
        <w:rPr>
          <w:rFonts w:ascii="Arial" w:hAnsi="Arial" w:cs="Arial"/>
        </w:rPr>
        <w:t>The introduction of a global minimum corporate tax rate of 15% signifies a significant shift, requiring strategic planning for multinational corporations.</w:t>
      </w:r>
    </w:p>
    <w:p w14:paraId="28CEEA8F" w14:textId="77777777" w:rsidR="004448C3" w:rsidRPr="004448C3" w:rsidRDefault="004448C3" w:rsidP="004448C3">
      <w:pPr>
        <w:numPr>
          <w:ilvl w:val="0"/>
          <w:numId w:val="2"/>
        </w:numPr>
        <w:spacing w:before="100" w:beforeAutospacing="1" w:after="100" w:afterAutospacing="1" w:line="360" w:lineRule="auto"/>
        <w:rPr>
          <w:rFonts w:ascii="Arial" w:hAnsi="Arial" w:cs="Arial"/>
        </w:rPr>
      </w:pPr>
      <w:r w:rsidRPr="004448C3">
        <w:rPr>
          <w:rFonts w:ascii="Arial" w:hAnsi="Arial" w:cs="Arial"/>
        </w:rPr>
        <w:t>Additionally, electric vehicle manufacturers now have an incentive to claim 150% of qualifying investment expenses, presenting new opportunities for sustainable investment.</w:t>
      </w:r>
    </w:p>
    <w:p w14:paraId="25094811" w14:textId="77777777" w:rsidR="004448C3" w:rsidRPr="004448C3" w:rsidRDefault="004448C3" w:rsidP="004448C3">
      <w:pPr>
        <w:spacing w:before="100" w:beforeAutospacing="1" w:after="100" w:afterAutospacing="1" w:line="360" w:lineRule="auto"/>
        <w:rPr>
          <w:rFonts w:ascii="Arial" w:hAnsi="Arial" w:cs="Arial"/>
        </w:rPr>
      </w:pPr>
      <w:r w:rsidRPr="004448C3">
        <w:rPr>
          <w:rStyle w:val="Strong"/>
          <w:rFonts w:ascii="Arial" w:eastAsiaTheme="majorEastAsia" w:hAnsi="Arial" w:cs="Arial"/>
        </w:rPr>
        <w:t>Revenue Projections and Government Expenditure:</w:t>
      </w:r>
    </w:p>
    <w:p w14:paraId="701E7F07" w14:textId="77777777" w:rsidR="004448C3" w:rsidRPr="004448C3" w:rsidRDefault="004448C3" w:rsidP="004448C3">
      <w:pPr>
        <w:numPr>
          <w:ilvl w:val="0"/>
          <w:numId w:val="3"/>
        </w:numPr>
        <w:spacing w:before="100" w:beforeAutospacing="1" w:after="100" w:afterAutospacing="1" w:line="360" w:lineRule="auto"/>
        <w:rPr>
          <w:rFonts w:ascii="Arial" w:hAnsi="Arial" w:cs="Arial"/>
        </w:rPr>
      </w:pPr>
      <w:r w:rsidRPr="004448C3">
        <w:rPr>
          <w:rFonts w:ascii="Arial" w:hAnsi="Arial" w:cs="Arial"/>
        </w:rPr>
        <w:t>With personal income tax, VAT, and corporate income tax remaining substantial revenue sources, the government's strategy emphasizes fiscal consolidation and support for social services, highlighting the need for careful fiscal planning.</w:t>
      </w:r>
    </w:p>
    <w:p w14:paraId="5CFC1AFD" w14:textId="77777777" w:rsidR="004448C3" w:rsidRPr="004448C3" w:rsidRDefault="004448C3" w:rsidP="004448C3">
      <w:pPr>
        <w:numPr>
          <w:ilvl w:val="0"/>
          <w:numId w:val="3"/>
        </w:numPr>
        <w:spacing w:before="100" w:beforeAutospacing="1" w:after="100" w:afterAutospacing="1" w:line="360" w:lineRule="auto"/>
        <w:rPr>
          <w:rFonts w:ascii="Arial" w:hAnsi="Arial" w:cs="Arial"/>
        </w:rPr>
      </w:pPr>
      <w:r w:rsidRPr="004448C3">
        <w:rPr>
          <w:rFonts w:ascii="Arial" w:hAnsi="Arial" w:cs="Arial"/>
        </w:rPr>
        <w:t>The budget's focus on essential services and infrastructure underlines a commitment to enhancing quality of life and economic stability, which may influence investment strategies.</w:t>
      </w:r>
    </w:p>
    <w:p w14:paraId="4EA44808" w14:textId="77777777" w:rsidR="004448C3" w:rsidRPr="004448C3" w:rsidRDefault="004448C3" w:rsidP="004448C3">
      <w:pPr>
        <w:spacing w:before="100" w:beforeAutospacing="1" w:after="100" w:afterAutospacing="1" w:line="360" w:lineRule="auto"/>
        <w:rPr>
          <w:rFonts w:ascii="Arial" w:hAnsi="Arial" w:cs="Arial"/>
        </w:rPr>
      </w:pPr>
      <w:r w:rsidRPr="004448C3">
        <w:rPr>
          <w:rStyle w:val="Strong"/>
          <w:rFonts w:ascii="Arial" w:eastAsiaTheme="majorEastAsia" w:hAnsi="Arial" w:cs="Arial"/>
        </w:rPr>
        <w:t>Compliance, Advisory, and Strategic Planning:</w:t>
      </w:r>
    </w:p>
    <w:p w14:paraId="0F6C38DF" w14:textId="77777777" w:rsidR="004448C3" w:rsidRPr="004448C3" w:rsidRDefault="004448C3" w:rsidP="004448C3">
      <w:pPr>
        <w:numPr>
          <w:ilvl w:val="0"/>
          <w:numId w:val="4"/>
        </w:numPr>
        <w:spacing w:before="100" w:beforeAutospacing="1" w:after="100" w:afterAutospacing="1" w:line="360" w:lineRule="auto"/>
        <w:rPr>
          <w:rFonts w:ascii="Arial" w:hAnsi="Arial" w:cs="Arial"/>
        </w:rPr>
      </w:pPr>
      <w:r w:rsidRPr="004448C3">
        <w:rPr>
          <w:rFonts w:ascii="Arial" w:hAnsi="Arial" w:cs="Arial"/>
        </w:rPr>
        <w:t>The outlined changes necessitate a comprehensive understanding of the new tax landscape, underscoring the importance of diligent compliance and strategic advisory to navigate these adjustments effectively.</w:t>
      </w:r>
    </w:p>
    <w:p w14:paraId="45CE6DF2" w14:textId="77777777" w:rsidR="004448C3" w:rsidRPr="004448C3" w:rsidRDefault="004448C3" w:rsidP="004448C3">
      <w:pPr>
        <w:numPr>
          <w:ilvl w:val="0"/>
          <w:numId w:val="4"/>
        </w:numPr>
        <w:spacing w:before="100" w:beforeAutospacing="1" w:after="100" w:afterAutospacing="1" w:line="360" w:lineRule="auto"/>
        <w:rPr>
          <w:rFonts w:ascii="Arial" w:hAnsi="Arial" w:cs="Arial"/>
        </w:rPr>
      </w:pPr>
      <w:r w:rsidRPr="004448C3">
        <w:rPr>
          <w:rFonts w:ascii="Arial" w:hAnsi="Arial" w:cs="Arial"/>
        </w:rPr>
        <w:t>With SARS expected to intensify compliance measures, it's crucial to ensure accurate reporting and tax planning to mitigate potential increased tax liabilities.</w:t>
      </w:r>
    </w:p>
    <w:p w14:paraId="1B5CB9D4" w14:textId="77777777" w:rsidR="004448C3" w:rsidRPr="004448C3" w:rsidRDefault="004448C3" w:rsidP="004448C3">
      <w:pPr>
        <w:spacing w:before="100" w:beforeAutospacing="1" w:after="100" w:afterAutospacing="1" w:line="360" w:lineRule="auto"/>
        <w:rPr>
          <w:rFonts w:ascii="Arial" w:hAnsi="Arial" w:cs="Arial"/>
        </w:rPr>
      </w:pPr>
      <w:r w:rsidRPr="004448C3">
        <w:rPr>
          <w:rStyle w:val="Strong"/>
          <w:rFonts w:ascii="Arial" w:eastAsiaTheme="majorEastAsia" w:hAnsi="Arial" w:cs="Arial"/>
        </w:rPr>
        <w:t>Expected SARS Overreach:</w:t>
      </w:r>
    </w:p>
    <w:p w14:paraId="4F51B67B" w14:textId="77777777" w:rsidR="004448C3" w:rsidRPr="004448C3" w:rsidRDefault="004448C3" w:rsidP="004448C3">
      <w:pPr>
        <w:numPr>
          <w:ilvl w:val="0"/>
          <w:numId w:val="5"/>
        </w:numPr>
        <w:spacing w:before="100" w:beforeAutospacing="1" w:after="100" w:afterAutospacing="1" w:line="360" w:lineRule="auto"/>
        <w:rPr>
          <w:rFonts w:ascii="Arial" w:hAnsi="Arial" w:cs="Arial"/>
        </w:rPr>
      </w:pPr>
      <w:r w:rsidRPr="004448C3">
        <w:rPr>
          <w:rFonts w:ascii="Arial" w:hAnsi="Arial" w:cs="Arial"/>
        </w:rPr>
        <w:t>There is an anticipation that SARS officials might extend their reach in efforts to increase revenue collection. This proactive stance means that deductions could be more rigorously scrutinized, and penalties for non-declared revenue are likely to become more common. It's imperative that we prepare meticulously to navigate this heightened scrutiny, ensuring all deductions are justifiable and revenues are fully declared and timely.</w:t>
      </w:r>
    </w:p>
    <w:p w14:paraId="0CD27CEE" w14:textId="77777777"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As your accounting partners, we are here to assist you in understanding these changes and adapting your financial strategies accordingly. We recommend scheduling a consultation to discuss how these updates specifically impact your personal or business finances and to strategize for the upcoming fiscal year.</w:t>
      </w:r>
    </w:p>
    <w:p w14:paraId="020F6DB0" w14:textId="77777777"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 xml:space="preserve">CIBA is my professional body and they have arranged a Tax Risk Insurance product which offers a unique protection for businesses, individuals, and trusts against the financial strain of SARS tax audits and related disputes. With the increasing focus of SARS on SMMEs, trusts, and High-Net-Worth Individuals, the financial repercussions of audits can be significant, potentially leading to bankruptcy or business closure. Tax Risk Insurance covers professional fees during these audits, offering access to top tax specialists and ensuring fair treatment. This insurance is a prudent investment to mitigate unexpected tax audit risks and secure financial stability. </w:t>
      </w:r>
    </w:p>
    <w:p w14:paraId="24EFA765" w14:textId="77777777"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Please feel free to reach out to us to arrange a meeting or if you have any immediate questions.</w:t>
      </w:r>
    </w:p>
    <w:p w14:paraId="18F598D9" w14:textId="77777777"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Best regards,</w:t>
      </w:r>
    </w:p>
    <w:p w14:paraId="20F58E6E" w14:textId="77777777" w:rsidR="004448C3" w:rsidRPr="004448C3" w:rsidRDefault="004448C3" w:rsidP="004448C3">
      <w:pPr>
        <w:spacing w:before="100" w:beforeAutospacing="1" w:after="100" w:afterAutospacing="1" w:line="360" w:lineRule="auto"/>
        <w:rPr>
          <w:rFonts w:ascii="Arial" w:hAnsi="Arial" w:cs="Arial"/>
        </w:rPr>
      </w:pPr>
      <w:r w:rsidRPr="004448C3">
        <w:rPr>
          <w:rFonts w:ascii="Arial" w:hAnsi="Arial" w:cs="Arial"/>
        </w:rPr>
        <w:t>[Your Name] [Your Position] [Your Contact Information] [Your Firm's Name]</w:t>
      </w:r>
    </w:p>
    <w:p w14:paraId="0C560003" w14:textId="77777777" w:rsidR="007B793A" w:rsidRPr="004448C3" w:rsidRDefault="007B793A" w:rsidP="004448C3">
      <w:pPr>
        <w:spacing w:line="360" w:lineRule="auto"/>
        <w:rPr>
          <w:rFonts w:ascii="Arial" w:hAnsi="Arial" w:cs="Arial"/>
        </w:rPr>
      </w:pPr>
    </w:p>
    <w:p w14:paraId="0DD2F7B7" w14:textId="77777777" w:rsidR="0081110D" w:rsidRPr="004448C3" w:rsidRDefault="0081110D" w:rsidP="004448C3">
      <w:pPr>
        <w:spacing w:line="360" w:lineRule="auto"/>
        <w:rPr>
          <w:rFonts w:ascii="Arial" w:hAnsi="Arial" w:cs="Arial"/>
        </w:rPr>
      </w:pPr>
      <w:r w:rsidRPr="004448C3">
        <w:rPr>
          <w:rFonts w:ascii="Arial" w:hAnsi="Arial" w:cs="Arial"/>
        </w:rPr>
        <w:t>Warm regards,</w:t>
      </w:r>
    </w:p>
    <w:p w14:paraId="7175D8DB" w14:textId="77777777" w:rsidR="0081110D" w:rsidRPr="004448C3" w:rsidRDefault="0081110D" w:rsidP="004448C3">
      <w:pPr>
        <w:spacing w:line="360" w:lineRule="auto"/>
        <w:rPr>
          <w:rFonts w:ascii="Arial" w:hAnsi="Arial" w:cs="Arial"/>
        </w:rPr>
      </w:pPr>
      <w:r w:rsidRPr="004448C3">
        <w:rPr>
          <w:rFonts w:ascii="Arial" w:hAnsi="Arial" w:cs="Arial"/>
        </w:rPr>
        <w:t>[Your Name]</w:t>
      </w:r>
      <w:r w:rsidRPr="004448C3">
        <w:rPr>
          <w:rFonts w:ascii="Arial" w:hAnsi="Arial" w:cs="Arial"/>
        </w:rPr>
        <w:br/>
        <w:t>[Your Position]</w:t>
      </w:r>
      <w:r w:rsidRPr="004448C3">
        <w:rPr>
          <w:rFonts w:ascii="Arial" w:hAnsi="Arial" w:cs="Arial"/>
        </w:rPr>
        <w:br/>
        <w:t>[Contact Information]</w:t>
      </w:r>
    </w:p>
    <w:p w14:paraId="1A95EDFF" w14:textId="77777777" w:rsidR="00E40227" w:rsidRPr="004448C3" w:rsidRDefault="00E40227" w:rsidP="004448C3">
      <w:pPr>
        <w:spacing w:line="360" w:lineRule="auto"/>
        <w:rPr>
          <w:rFonts w:ascii="Arial" w:hAnsi="Arial" w:cs="Arial"/>
        </w:rPr>
      </w:pPr>
    </w:p>
    <w:sectPr w:rsidR="00E40227" w:rsidRPr="0044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74"/>
    <w:multiLevelType w:val="multilevel"/>
    <w:tmpl w:val="09A6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D6C85"/>
    <w:multiLevelType w:val="multilevel"/>
    <w:tmpl w:val="D8F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72C6F"/>
    <w:multiLevelType w:val="multilevel"/>
    <w:tmpl w:val="A1B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71BBD"/>
    <w:multiLevelType w:val="multilevel"/>
    <w:tmpl w:val="9D9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615BD"/>
    <w:multiLevelType w:val="multilevel"/>
    <w:tmpl w:val="331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445055">
    <w:abstractNumId w:val="2"/>
  </w:num>
  <w:num w:numId="2" w16cid:durableId="1689672778">
    <w:abstractNumId w:val="4"/>
  </w:num>
  <w:num w:numId="3" w16cid:durableId="350834777">
    <w:abstractNumId w:val="3"/>
  </w:num>
  <w:num w:numId="4" w16cid:durableId="1846629451">
    <w:abstractNumId w:val="1"/>
  </w:num>
  <w:num w:numId="5" w16cid:durableId="170952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01"/>
    <w:rsid w:val="00182F9E"/>
    <w:rsid w:val="004448C3"/>
    <w:rsid w:val="007B793A"/>
    <w:rsid w:val="0081110D"/>
    <w:rsid w:val="00850896"/>
    <w:rsid w:val="008B6E01"/>
    <w:rsid w:val="009374F6"/>
    <w:rsid w:val="009D6573"/>
    <w:rsid w:val="00BB2311"/>
    <w:rsid w:val="00C634C7"/>
    <w:rsid w:val="00CF655D"/>
    <w:rsid w:val="00E26339"/>
    <w:rsid w:val="00E36C1F"/>
    <w:rsid w:val="00E402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A8CE4"/>
  <w15:chartTrackingRefBased/>
  <w15:docId w15:val="{86101CB6-EB09-444C-9951-691A1DDA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96"/>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8B6E01"/>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8B6E01"/>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8B6E01"/>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8B6E01"/>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8B6E01"/>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8B6E01"/>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8B6E01"/>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8B6E01"/>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8B6E01"/>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E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6E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6E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6E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6E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6E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6E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6E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6E01"/>
    <w:rPr>
      <w:rFonts w:eastAsiaTheme="majorEastAsia" w:cstheme="majorBidi"/>
      <w:color w:val="272727" w:themeColor="text1" w:themeTint="D8"/>
    </w:rPr>
  </w:style>
  <w:style w:type="paragraph" w:styleId="Title">
    <w:name w:val="Title"/>
    <w:basedOn w:val="Normal"/>
    <w:next w:val="Normal"/>
    <w:link w:val="TitleChar"/>
    <w:uiPriority w:val="10"/>
    <w:qFormat/>
    <w:rsid w:val="008B6E0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8B6E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6E01"/>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8B6E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6E01"/>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8B6E01"/>
    <w:rPr>
      <w:i/>
      <w:iCs/>
      <w:color w:val="404040" w:themeColor="text1" w:themeTint="BF"/>
    </w:rPr>
  </w:style>
  <w:style w:type="paragraph" w:styleId="ListParagraph">
    <w:name w:val="List Paragraph"/>
    <w:basedOn w:val="Normal"/>
    <w:uiPriority w:val="34"/>
    <w:qFormat/>
    <w:rsid w:val="008B6E01"/>
    <w:pPr>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8B6E01"/>
    <w:rPr>
      <w:i/>
      <w:iCs/>
      <w:color w:val="0F4761" w:themeColor="accent1" w:themeShade="BF"/>
    </w:rPr>
  </w:style>
  <w:style w:type="paragraph" w:styleId="IntenseQuote">
    <w:name w:val="Intense Quote"/>
    <w:basedOn w:val="Normal"/>
    <w:next w:val="Normal"/>
    <w:link w:val="IntenseQuoteChar"/>
    <w:uiPriority w:val="30"/>
    <w:qFormat/>
    <w:rsid w:val="008B6E01"/>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8B6E01"/>
    <w:rPr>
      <w:i/>
      <w:iCs/>
      <w:color w:val="0F4761" w:themeColor="accent1" w:themeShade="BF"/>
    </w:rPr>
  </w:style>
  <w:style w:type="character" w:styleId="IntenseReference">
    <w:name w:val="Intense Reference"/>
    <w:basedOn w:val="DefaultParagraphFont"/>
    <w:uiPriority w:val="32"/>
    <w:qFormat/>
    <w:rsid w:val="008B6E01"/>
    <w:rPr>
      <w:b/>
      <w:bCs/>
      <w:smallCaps/>
      <w:color w:val="0F4761" w:themeColor="accent1" w:themeShade="BF"/>
      <w:spacing w:val="5"/>
    </w:rPr>
  </w:style>
  <w:style w:type="character" w:styleId="Strong">
    <w:name w:val="Strong"/>
    <w:basedOn w:val="DefaultParagraphFont"/>
    <w:uiPriority w:val="22"/>
    <w:qFormat/>
    <w:rsid w:val="00444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79926">
      <w:bodyDiv w:val="1"/>
      <w:marLeft w:val="0"/>
      <w:marRight w:val="0"/>
      <w:marTop w:val="0"/>
      <w:marBottom w:val="0"/>
      <w:divBdr>
        <w:top w:val="none" w:sz="0" w:space="0" w:color="auto"/>
        <w:left w:val="none" w:sz="0" w:space="0" w:color="auto"/>
        <w:bottom w:val="none" w:sz="0" w:space="0" w:color="auto"/>
        <w:right w:val="none" w:sz="0" w:space="0" w:color="auto"/>
      </w:divBdr>
    </w:div>
    <w:div w:id="1366249708">
      <w:bodyDiv w:val="1"/>
      <w:marLeft w:val="0"/>
      <w:marRight w:val="0"/>
      <w:marTop w:val="0"/>
      <w:marBottom w:val="0"/>
      <w:divBdr>
        <w:top w:val="none" w:sz="0" w:space="0" w:color="auto"/>
        <w:left w:val="none" w:sz="0" w:space="0" w:color="auto"/>
        <w:bottom w:val="none" w:sz="0" w:space="0" w:color="auto"/>
        <w:right w:val="none" w:sz="0" w:space="0" w:color="auto"/>
      </w:divBdr>
    </w:div>
    <w:div w:id="1455441785">
      <w:bodyDiv w:val="1"/>
      <w:marLeft w:val="0"/>
      <w:marRight w:val="0"/>
      <w:marTop w:val="0"/>
      <w:marBottom w:val="0"/>
      <w:divBdr>
        <w:top w:val="none" w:sz="0" w:space="0" w:color="auto"/>
        <w:left w:val="none" w:sz="0" w:space="0" w:color="auto"/>
        <w:bottom w:val="none" w:sz="0" w:space="0" w:color="auto"/>
        <w:right w:val="none" w:sz="0" w:space="0" w:color="auto"/>
      </w:divBdr>
    </w:div>
    <w:div w:id="1652824964">
      <w:bodyDiv w:val="1"/>
      <w:marLeft w:val="0"/>
      <w:marRight w:val="0"/>
      <w:marTop w:val="0"/>
      <w:marBottom w:val="0"/>
      <w:divBdr>
        <w:top w:val="none" w:sz="0" w:space="0" w:color="auto"/>
        <w:left w:val="none" w:sz="0" w:space="0" w:color="auto"/>
        <w:bottom w:val="none" w:sz="0" w:space="0" w:color="auto"/>
        <w:right w:val="none" w:sz="0" w:space="0" w:color="auto"/>
      </w:divBdr>
    </w:div>
    <w:div w:id="20169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3377</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Nicolaas van Wyk</dc:creator>
  <cp:keywords/>
  <dc:description/>
  <cp:lastModifiedBy>Eszter Rapanos</cp:lastModifiedBy>
  <cp:revision>2</cp:revision>
  <dcterms:created xsi:type="dcterms:W3CDTF">2024-02-23T09:29:00Z</dcterms:created>
  <dcterms:modified xsi:type="dcterms:W3CDTF">2024-02-23T09:29:00Z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eb7be2957be3cd8d476ddab228ad0efbe47d4e58d9a26edbe00e07dec74ea3d2</vt:lpwstr>
  </property>
</Properties>
</file>